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873" w:rsidRDefault="00345873" w:rsidP="00345873">
      <w:pPr>
        <w:spacing w:line="480" w:lineRule="auto"/>
        <w:jc w:val="center"/>
        <w:rPr>
          <w:b/>
        </w:rPr>
      </w:pPr>
    </w:p>
    <w:p w:rsidR="00345873" w:rsidRDefault="00345873" w:rsidP="000B4EC6">
      <w:pPr>
        <w:spacing w:line="480" w:lineRule="auto"/>
        <w:rPr>
          <w:b/>
        </w:rPr>
      </w:pPr>
    </w:p>
    <w:p w:rsidR="00345873" w:rsidRPr="00345873" w:rsidRDefault="00345873" w:rsidP="000B4EC6">
      <w:pPr>
        <w:spacing w:line="480" w:lineRule="auto"/>
        <w:jc w:val="center"/>
        <w:rPr>
          <w:b/>
        </w:rPr>
      </w:pPr>
      <w:r w:rsidRPr="00345873">
        <w:rPr>
          <w:b/>
        </w:rPr>
        <w:t>Cystic Fibrosis</w:t>
      </w:r>
    </w:p>
    <w:p w:rsidR="00345873" w:rsidRDefault="00345873" w:rsidP="000B4EC6">
      <w:pPr>
        <w:spacing w:line="480" w:lineRule="auto"/>
        <w:jc w:val="center"/>
      </w:pPr>
    </w:p>
    <w:p w:rsidR="000B4EC6" w:rsidRDefault="000B4EC6" w:rsidP="000B4EC6">
      <w:pPr>
        <w:spacing w:line="480" w:lineRule="auto"/>
        <w:jc w:val="center"/>
      </w:pPr>
    </w:p>
    <w:p w:rsidR="000B4EC6" w:rsidRDefault="000B4EC6" w:rsidP="000B4EC6">
      <w:pPr>
        <w:spacing w:line="480" w:lineRule="auto"/>
        <w:jc w:val="center"/>
      </w:pPr>
    </w:p>
    <w:p w:rsidR="00345873" w:rsidRDefault="00345873" w:rsidP="000B4EC6">
      <w:pPr>
        <w:spacing w:line="480" w:lineRule="auto"/>
        <w:jc w:val="center"/>
      </w:pPr>
      <w:r>
        <w:t>Student’s Name</w:t>
      </w:r>
    </w:p>
    <w:p w:rsidR="00345873" w:rsidRPr="00345873" w:rsidRDefault="00345873" w:rsidP="000B4EC6">
      <w:pPr>
        <w:spacing w:line="480" w:lineRule="auto"/>
        <w:jc w:val="center"/>
      </w:pPr>
      <w:r w:rsidRPr="00345873">
        <w:t>Institution of Affiliation</w:t>
      </w:r>
    </w:p>
    <w:p w:rsidR="00345873" w:rsidRPr="00345873" w:rsidRDefault="00345873" w:rsidP="000B4EC6">
      <w:pPr>
        <w:spacing w:line="480" w:lineRule="auto"/>
        <w:jc w:val="center"/>
      </w:pPr>
      <w:r w:rsidRPr="00345873">
        <w:t>Course Code and Name</w:t>
      </w:r>
    </w:p>
    <w:p w:rsidR="00345873" w:rsidRPr="00345873" w:rsidRDefault="00345873" w:rsidP="000B4EC6">
      <w:pPr>
        <w:spacing w:line="480" w:lineRule="auto"/>
        <w:jc w:val="center"/>
      </w:pPr>
      <w:r w:rsidRPr="00345873">
        <w:t>Professor</w:t>
      </w:r>
    </w:p>
    <w:p w:rsidR="00345873" w:rsidRPr="00345873" w:rsidRDefault="00345873" w:rsidP="000B4EC6">
      <w:pPr>
        <w:spacing w:line="480" w:lineRule="auto"/>
        <w:jc w:val="center"/>
      </w:pPr>
      <w:r w:rsidRPr="00345873">
        <w:t>Date</w:t>
      </w:r>
    </w:p>
    <w:p w:rsidR="00345873" w:rsidRDefault="00345873">
      <w:r>
        <w:br w:type="page"/>
      </w:r>
    </w:p>
    <w:p w:rsidR="00345873" w:rsidRPr="000B4EC6" w:rsidRDefault="00345873" w:rsidP="00345873">
      <w:pPr>
        <w:spacing w:line="480" w:lineRule="auto"/>
        <w:jc w:val="center"/>
        <w:rPr>
          <w:b/>
        </w:rPr>
      </w:pPr>
      <w:r w:rsidRPr="000B4EC6">
        <w:rPr>
          <w:b/>
        </w:rPr>
        <w:lastRenderedPageBreak/>
        <w:t>Cystic Fibrosis</w:t>
      </w:r>
    </w:p>
    <w:p w:rsidR="00345873" w:rsidRPr="00345873" w:rsidRDefault="007B2A04" w:rsidP="00345873">
      <w:pPr>
        <w:spacing w:line="480" w:lineRule="auto"/>
        <w:ind w:firstLine="720"/>
      </w:pPr>
      <w:r w:rsidRPr="00345873">
        <w:t>There are many genetic diseases with considerable comorbid-related impact on the patient’s quality of life. The spectrum of these genetic diseases is such that they range from the more debilitating ones that are incompatible with life to milder forms that have little impact on the individual’s quality of life. Among the genetic diseases that have significant negative effects on the quality of life of the affected patients is c</w:t>
      </w:r>
      <w:r w:rsidR="00C33ED6" w:rsidRPr="00345873">
        <w:t xml:space="preserve">ystic fibrosis. Cystic fibrosis, also referred to as mucoviscidosis or fibrocystic diseases of the pancreas, </w:t>
      </w:r>
      <w:r w:rsidRPr="00345873">
        <w:t xml:space="preserve">is </w:t>
      </w:r>
      <w:r w:rsidR="00C33ED6" w:rsidRPr="00345873">
        <w:t>one of the most common lethal genetic diseases (</w:t>
      </w:r>
      <w:r w:rsidR="00345873" w:rsidRPr="00345873">
        <w:t>Kumar, Abbas, &amp; Aster, 2013</w:t>
      </w:r>
      <w:r w:rsidR="00C33ED6" w:rsidRPr="00345873">
        <w:t xml:space="preserve">). It is </w:t>
      </w:r>
      <w:r w:rsidRPr="00345873">
        <w:t>an autosomal recessive genetic disease that is caused by a mutation in the cystic fibrosis transmembrane conductance regulator (CFTR) gene</w:t>
      </w:r>
      <w:r w:rsidR="00C33ED6" w:rsidRPr="00345873">
        <w:t xml:space="preserve"> localized to the midsection of the </w:t>
      </w:r>
      <w:r w:rsidRPr="00345873">
        <w:t>long arm of chromosome 7</w:t>
      </w:r>
      <w:r w:rsidR="00C33ED6" w:rsidRPr="00345873">
        <w:t xml:space="preserve"> (</w:t>
      </w:r>
      <w:r w:rsidR="0056665E" w:rsidRPr="00345873">
        <w:t>Schneider &amp; Szanto, 2014</w:t>
      </w:r>
      <w:r w:rsidR="00C33ED6" w:rsidRPr="00345873">
        <w:t>)</w:t>
      </w:r>
      <w:r w:rsidRPr="00345873">
        <w:t xml:space="preserve">. </w:t>
      </w:r>
      <w:r w:rsidR="00C33ED6" w:rsidRPr="00345873">
        <w:t xml:space="preserve"> The mutation in 70% of the cases involves a deletion of the three base pairs that code for phenylalanine usually at position 508 thus denoted as ∆F508 mutation (</w:t>
      </w:r>
      <w:r w:rsidR="0056665E" w:rsidRPr="00345873">
        <w:t>Schneider &amp; Szanto, 2014</w:t>
      </w:r>
      <w:r w:rsidR="00C33ED6" w:rsidRPr="00345873">
        <w:t xml:space="preserve">). </w:t>
      </w:r>
    </w:p>
    <w:p w:rsidR="009520B6" w:rsidRPr="00345873" w:rsidRDefault="00C33ED6" w:rsidP="00345873">
      <w:pPr>
        <w:spacing w:line="480" w:lineRule="auto"/>
        <w:ind w:firstLine="720"/>
      </w:pPr>
      <w:r w:rsidRPr="00345873">
        <w:t xml:space="preserve">The CFTR </w:t>
      </w:r>
      <w:r w:rsidR="007B2A04" w:rsidRPr="00345873">
        <w:t xml:space="preserve">gene codes for a </w:t>
      </w:r>
      <w:r w:rsidRPr="00345873">
        <w:t xml:space="preserve">protein that is a </w:t>
      </w:r>
      <w:r w:rsidR="007B2A04" w:rsidRPr="00345873">
        <w:t>cyclic AMP-regulated chloride channel</w:t>
      </w:r>
      <w:r w:rsidRPr="00345873">
        <w:t xml:space="preserve">. This protein </w:t>
      </w:r>
      <w:r w:rsidR="007B2A04" w:rsidRPr="00345873">
        <w:t>assumes role as a regulator of the transport of both chloride and sodium ions across ep</w:t>
      </w:r>
      <w:r w:rsidR="009520B6" w:rsidRPr="00345873">
        <w:t>ithelial membranes. The disease mostly affects individuals with a homozygous recessive genotype and is more common in the Caucasians</w:t>
      </w:r>
      <w:r w:rsidRPr="00345873">
        <w:t xml:space="preserve"> (whites)</w:t>
      </w:r>
      <w:r w:rsidR="0056665E" w:rsidRPr="00345873">
        <w:t xml:space="preserve"> (Schneider &amp; Szanto, 2014)</w:t>
      </w:r>
      <w:r w:rsidR="009520B6" w:rsidRPr="00345873">
        <w:t xml:space="preserve">. </w:t>
      </w:r>
      <w:r w:rsidRPr="00345873">
        <w:t>Characteristics of the disease include the malfunction of exocrine glands such that o</w:t>
      </w:r>
      <w:r w:rsidR="009520B6" w:rsidRPr="00345873">
        <w:t>n the epithelia membranes, it affects the mucus and sweat secreting cells, alongside the cells that secrete digestive juices making these fluids abnormally thick and sticky</w:t>
      </w:r>
      <w:r w:rsidRPr="00345873">
        <w:t xml:space="preserve"> (with increased viscosity)</w:t>
      </w:r>
      <w:r w:rsidR="009520B6" w:rsidRPr="00345873">
        <w:t xml:space="preserve">. Consequently, it causes blockage of the pancreatic ducts, intestines, and bronchi, resulting in infections in the respiratory and digestive tracts. </w:t>
      </w:r>
    </w:p>
    <w:p w:rsidR="00A14F67" w:rsidRPr="00345873" w:rsidRDefault="009520B6" w:rsidP="00345873">
      <w:pPr>
        <w:spacing w:line="480" w:lineRule="auto"/>
        <w:ind w:firstLine="720"/>
      </w:pPr>
      <w:r w:rsidRPr="00345873">
        <w:lastRenderedPageBreak/>
        <w:t>The pathophysiology of the diseases is such that the defect in the cystic fibrosis transmembrane conductance regulator (CFTR) gene decreases the reabsorption of sodium chloride resulting in the production of hypertonic sweat in the sweat glands. In the respiratory and intestinal epithelium, the mutation in the CFTR gene results in the loss of or reduction of chloride secretions into the lumen of these systems, thus resulting in an increase in active luminal sodium absorption through the</w:t>
      </w:r>
      <w:r w:rsidR="00C33ED6" w:rsidRPr="00345873">
        <w:t xml:space="preserve"> epithelial sodium channels. These changes increase passive water reabsorption from the lumen, consequently lowering the water content of surface fluid layer coating the mucosal cells (</w:t>
      </w:r>
      <w:r w:rsidR="000B4EC6">
        <w:t xml:space="preserve">Kumar et al., </w:t>
      </w:r>
      <w:r w:rsidR="00345873" w:rsidRPr="00345873">
        <w:t>2013</w:t>
      </w:r>
      <w:r w:rsidR="00C33ED6" w:rsidRPr="00345873">
        <w:t xml:space="preserve">). </w:t>
      </w:r>
    </w:p>
    <w:p w:rsidR="009520B6" w:rsidRPr="00345873" w:rsidRDefault="00C33ED6" w:rsidP="00345873">
      <w:pPr>
        <w:spacing w:line="480" w:lineRule="auto"/>
        <w:ind w:firstLine="720"/>
      </w:pPr>
      <w:r w:rsidRPr="00345873">
        <w:t>In the lungs, this dehydration leads to de</w:t>
      </w:r>
      <w:r w:rsidR="00345873" w:rsidRPr="00345873">
        <w:t xml:space="preserve">fective mucociliary action and </w:t>
      </w:r>
      <w:r w:rsidRPr="00345873">
        <w:t>the resultant accumulation of highly concentrated, viscid secretions that obstruct the air passage and predispose the individual to chronic pulmonary diseases</w:t>
      </w:r>
      <w:r w:rsidR="00A14F67" w:rsidRPr="00345873">
        <w:t xml:space="preserve"> as a result of the retention of viscid mucus, which leads to secondary infection and recurrent bouts of pneumonia, notably by the likes of </w:t>
      </w:r>
      <w:r w:rsidR="00A14F67" w:rsidRPr="00345873">
        <w:rPr>
          <w:i/>
        </w:rPr>
        <w:t>Staphylococcus aureus</w:t>
      </w:r>
      <w:r w:rsidR="00A14F67" w:rsidRPr="00345873">
        <w:t xml:space="preserve">, </w:t>
      </w:r>
      <w:r w:rsidR="00A14F67" w:rsidRPr="00345873">
        <w:rPr>
          <w:i/>
        </w:rPr>
        <w:t>Haemophilus influenza</w:t>
      </w:r>
      <w:r w:rsidR="00A14F67" w:rsidRPr="00345873">
        <w:t xml:space="preserve">, and </w:t>
      </w:r>
      <w:r w:rsidR="00A14F67" w:rsidRPr="00345873">
        <w:rPr>
          <w:i/>
        </w:rPr>
        <w:t>Pseudomonas aeruginosa</w:t>
      </w:r>
      <w:r w:rsidR="00A14F67" w:rsidRPr="00345873">
        <w:t>, severe chronic bronchitis, bronchiectasis, and lung abscess (</w:t>
      </w:r>
      <w:r w:rsidR="0056665E" w:rsidRPr="00345873">
        <w:t>Schneider &amp; Szanto, 2014</w:t>
      </w:r>
      <w:r w:rsidR="00A14F67" w:rsidRPr="00345873">
        <w:t xml:space="preserve">). Infection with </w:t>
      </w:r>
      <w:r w:rsidR="00A14F67" w:rsidRPr="00345873">
        <w:rPr>
          <w:i/>
        </w:rPr>
        <w:t>Pseudomonas aeruginosa</w:t>
      </w:r>
      <w:r w:rsidR="00A14F67" w:rsidRPr="00345873">
        <w:t xml:space="preserve"> is a common cause of death in cystic fibrosis (</w:t>
      </w:r>
      <w:r w:rsidR="0056665E" w:rsidRPr="00345873">
        <w:t>Schneider &amp; Szanto, 2014</w:t>
      </w:r>
      <w:r w:rsidR="00A14F67" w:rsidRPr="00345873">
        <w:t xml:space="preserve">). </w:t>
      </w:r>
    </w:p>
    <w:p w:rsidR="00A14F67" w:rsidRPr="00345873" w:rsidRDefault="00A14F67" w:rsidP="00345873">
      <w:pPr>
        <w:spacing w:line="480" w:lineRule="auto"/>
        <w:ind w:firstLine="720"/>
      </w:pPr>
      <w:r w:rsidRPr="00345873">
        <w:t>In the intestines, the mucus plug may cause obstruction, more common identified as meconium ileus in the newborn caused by thick, viscous meconium (</w:t>
      </w:r>
      <w:r w:rsidR="0056665E" w:rsidRPr="00345873">
        <w:t>Schneider &amp; Szanto, 2014</w:t>
      </w:r>
      <w:r w:rsidRPr="00345873">
        <w:t xml:space="preserve">). In the pancreas, it leads to pancreatic insufficiency by way of the plug causing obstruction of the pancreatic ducts and ductules leading to atrophy of exocrine glands by way </w:t>
      </w:r>
      <w:r w:rsidR="0056665E" w:rsidRPr="00345873">
        <w:t>of fibrosis. Consequently, this obstruction</w:t>
      </w:r>
      <w:r w:rsidRPr="00345873">
        <w:t xml:space="preserve"> result</w:t>
      </w:r>
      <w:r w:rsidR="0056665E" w:rsidRPr="00345873">
        <w:t>s</w:t>
      </w:r>
      <w:r w:rsidRPr="00345873">
        <w:t xml:space="preserve"> in the absence of or deficiency</w:t>
      </w:r>
      <w:r w:rsidR="0056665E" w:rsidRPr="00345873">
        <w:t xml:space="preserve"> of the pancreatic enzymes that</w:t>
      </w:r>
      <w:r w:rsidRPr="00345873">
        <w:t xml:space="preserve"> leads to impaired fat absorption</w:t>
      </w:r>
      <w:r w:rsidR="000B4EC6">
        <w:t xml:space="preserve"> </w:t>
      </w:r>
      <w:r w:rsidR="000B4EC6" w:rsidRPr="00345873">
        <w:t>(</w:t>
      </w:r>
      <w:r w:rsidR="000B4EC6">
        <w:t xml:space="preserve">Kumar et al., </w:t>
      </w:r>
      <w:r w:rsidR="000B4EC6" w:rsidRPr="00345873">
        <w:t>2013)</w:t>
      </w:r>
      <w:r w:rsidR="0056665E" w:rsidRPr="00345873">
        <w:t xml:space="preserve">. The resultant malabsorption gives rise to </w:t>
      </w:r>
      <w:r w:rsidRPr="00345873">
        <w:t xml:space="preserve">steatorrhea. </w:t>
      </w:r>
    </w:p>
    <w:p w:rsidR="0056665E" w:rsidRPr="00345873" w:rsidRDefault="0056665E" w:rsidP="00345873">
      <w:pPr>
        <w:spacing w:line="480" w:lineRule="auto"/>
        <w:ind w:firstLine="720"/>
      </w:pPr>
      <w:r w:rsidRPr="00345873">
        <w:lastRenderedPageBreak/>
        <w:t xml:space="preserve">The diagnosis of this disease makes use of pilocarpine iontophoresis sweat chloride test (sweat test) in addition to molecular testing which can detect homozygosity or compound heterozygosity for CFTR gene mutations (Schneider &amp; Szanto, 2014). Currently, many states now employ newborn screening using the immunoreactive trypsinogen (IRT) assay, which shows elevated levels in infants with cystic fibrosis (Schneider &amp; Szanto, 2014). </w:t>
      </w:r>
    </w:p>
    <w:p w:rsidR="00CD4796" w:rsidRPr="00345873" w:rsidRDefault="0056665E" w:rsidP="00345873">
      <w:pPr>
        <w:spacing w:line="480" w:lineRule="auto"/>
        <w:ind w:firstLine="720"/>
      </w:pPr>
      <w:r w:rsidRPr="00345873">
        <w:t xml:space="preserve">Cystic fibrosis has, up to date, no known cure or treatment option. The management of the disease involves supportive and symptomatic management of the presenting clinical manifestation of the disease, usually involving the use of antibiotics, anti-inflammatory, bronchodilators, and the administration of oral pancreatic enzymes. </w:t>
      </w:r>
    </w:p>
    <w:p w:rsidR="00345873" w:rsidRDefault="00345873">
      <w:r>
        <w:br w:type="page"/>
      </w:r>
    </w:p>
    <w:p w:rsidR="0056665E" w:rsidRPr="000B4EC6" w:rsidRDefault="0056665E" w:rsidP="000B4EC6">
      <w:pPr>
        <w:spacing w:line="480" w:lineRule="auto"/>
        <w:jc w:val="center"/>
        <w:rPr>
          <w:b/>
        </w:rPr>
      </w:pPr>
      <w:r w:rsidRPr="000B4EC6">
        <w:rPr>
          <w:b/>
        </w:rPr>
        <w:lastRenderedPageBreak/>
        <w:t>References</w:t>
      </w:r>
    </w:p>
    <w:p w:rsidR="00081581" w:rsidRDefault="00081581" w:rsidP="00081581">
      <w:pPr>
        <w:spacing w:line="480" w:lineRule="auto"/>
        <w:ind w:left="720" w:hanging="720"/>
      </w:pPr>
      <w:r w:rsidRPr="00345873">
        <w:t xml:space="preserve">Kumar, V., Abbas, K. A., &amp; Aster, C. J. (2013). </w:t>
      </w:r>
      <w:r w:rsidRPr="00081581">
        <w:rPr>
          <w:i/>
        </w:rPr>
        <w:t>Robins Basic Pathology</w:t>
      </w:r>
      <w:r w:rsidRPr="00345873">
        <w:t>. 9</w:t>
      </w:r>
      <w:r w:rsidRPr="00345873">
        <w:rPr>
          <w:vertAlign w:val="superscript"/>
        </w:rPr>
        <w:t xml:space="preserve">th </w:t>
      </w:r>
      <w:r w:rsidRPr="00345873">
        <w:t>Edition. Philadelphia: Els</w:t>
      </w:r>
      <w:bookmarkStart w:id="0" w:name="_GoBack"/>
      <w:bookmarkEnd w:id="0"/>
      <w:r w:rsidRPr="00345873">
        <w:t>evier Saunders</w:t>
      </w:r>
    </w:p>
    <w:p w:rsidR="0056665E" w:rsidRPr="00345873" w:rsidRDefault="008C1EE5" w:rsidP="00345873">
      <w:pPr>
        <w:spacing w:line="480" w:lineRule="auto"/>
        <w:ind w:left="720" w:hanging="720"/>
      </w:pPr>
      <w:r w:rsidRPr="00345873">
        <w:t xml:space="preserve">Schneider, S. A., </w:t>
      </w:r>
      <w:r w:rsidR="0056665E" w:rsidRPr="00345873">
        <w:t xml:space="preserve">&amp; Szanto, </w:t>
      </w:r>
      <w:r w:rsidRPr="00345873">
        <w:t xml:space="preserve">A. P. </w:t>
      </w:r>
      <w:r w:rsidR="0056665E" w:rsidRPr="00345873">
        <w:t>(2014)</w:t>
      </w:r>
      <w:r w:rsidRPr="00345873">
        <w:t xml:space="preserve">. </w:t>
      </w:r>
      <w:r w:rsidRPr="00345873">
        <w:rPr>
          <w:i/>
        </w:rPr>
        <w:t>Broad Review Series – Pathology</w:t>
      </w:r>
      <w:r w:rsidRPr="00345873">
        <w:t>.  5</w:t>
      </w:r>
      <w:r w:rsidRPr="00345873">
        <w:rPr>
          <w:vertAlign w:val="superscript"/>
        </w:rPr>
        <w:t>th</w:t>
      </w:r>
      <w:r w:rsidRPr="00345873">
        <w:t xml:space="preserve"> Edition. Philadelphia: Lippincott Williams &amp; Wilkins</w:t>
      </w:r>
    </w:p>
    <w:sectPr w:rsidR="0056665E" w:rsidRPr="0034587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C74" w:rsidRDefault="00B70C74" w:rsidP="00345873">
      <w:pPr>
        <w:spacing w:after="0" w:line="240" w:lineRule="auto"/>
      </w:pPr>
      <w:r>
        <w:separator/>
      </w:r>
    </w:p>
  </w:endnote>
  <w:endnote w:type="continuationSeparator" w:id="0">
    <w:p w:rsidR="00B70C74" w:rsidRDefault="00B70C74" w:rsidP="00345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C74" w:rsidRDefault="00B70C74" w:rsidP="00345873">
      <w:pPr>
        <w:spacing w:after="0" w:line="240" w:lineRule="auto"/>
      </w:pPr>
      <w:r>
        <w:separator/>
      </w:r>
    </w:p>
  </w:footnote>
  <w:footnote w:type="continuationSeparator" w:id="0">
    <w:p w:rsidR="00B70C74" w:rsidRDefault="00B70C74" w:rsidP="003458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6066670"/>
      <w:docPartObj>
        <w:docPartGallery w:val="Page Numbers (Top of Page)"/>
        <w:docPartUnique/>
      </w:docPartObj>
    </w:sdtPr>
    <w:sdtEndPr>
      <w:rPr>
        <w:noProof/>
      </w:rPr>
    </w:sdtEndPr>
    <w:sdtContent>
      <w:p w:rsidR="00345873" w:rsidRDefault="00345873">
        <w:pPr>
          <w:pStyle w:val="Header"/>
          <w:jc w:val="right"/>
        </w:pPr>
        <w:r>
          <w:fldChar w:fldCharType="begin"/>
        </w:r>
        <w:r>
          <w:instrText xml:space="preserve"> PAGE   \* MERGEFORMAT </w:instrText>
        </w:r>
        <w:r>
          <w:fldChar w:fldCharType="separate"/>
        </w:r>
        <w:r w:rsidR="00AB7090">
          <w:rPr>
            <w:noProof/>
          </w:rPr>
          <w:t>2</w:t>
        </w:r>
        <w:r>
          <w:rPr>
            <w:noProof/>
          </w:rPr>
          <w:fldChar w:fldCharType="end"/>
        </w:r>
      </w:p>
    </w:sdtContent>
  </w:sdt>
  <w:p w:rsidR="00345873" w:rsidRDefault="003458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86B"/>
    <w:rsid w:val="00081581"/>
    <w:rsid w:val="000B4EC6"/>
    <w:rsid w:val="0032186B"/>
    <w:rsid w:val="00345873"/>
    <w:rsid w:val="0056665E"/>
    <w:rsid w:val="007B2A04"/>
    <w:rsid w:val="00894236"/>
    <w:rsid w:val="008C1EE5"/>
    <w:rsid w:val="009520B6"/>
    <w:rsid w:val="00A028B3"/>
    <w:rsid w:val="00A14F67"/>
    <w:rsid w:val="00AB7090"/>
    <w:rsid w:val="00B70C74"/>
    <w:rsid w:val="00C33ED6"/>
    <w:rsid w:val="00CD4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73"/>
  </w:style>
  <w:style w:type="paragraph" w:styleId="Footer">
    <w:name w:val="footer"/>
    <w:basedOn w:val="Normal"/>
    <w:link w:val="FooterChar"/>
    <w:uiPriority w:val="99"/>
    <w:unhideWhenUsed/>
    <w:rsid w:val="003458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73"/>
  </w:style>
  <w:style w:type="paragraph" w:styleId="Footer">
    <w:name w:val="footer"/>
    <w:basedOn w:val="Normal"/>
    <w:link w:val="FooterChar"/>
    <w:uiPriority w:val="99"/>
    <w:unhideWhenUsed/>
    <w:rsid w:val="003458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731</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Patricia_Ann</dc:creator>
  <cp:lastModifiedBy>Kamande</cp:lastModifiedBy>
  <cp:revision>2</cp:revision>
  <dcterms:created xsi:type="dcterms:W3CDTF">2020-08-15T18:50:00Z</dcterms:created>
  <dcterms:modified xsi:type="dcterms:W3CDTF">2020-08-15T18:50:00Z</dcterms:modified>
</cp:coreProperties>
</file>